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0DDE" w14:textId="77777777" w:rsidR="00945D8A" w:rsidRPr="00556542" w:rsidRDefault="00945D8A" w:rsidP="00945D8A">
      <w:pPr>
        <w:jc w:val="center"/>
        <w:rPr>
          <w:rFonts w:ascii="Times New Roman" w:hAnsi="Times New Roman" w:cs="Times New Roman"/>
        </w:rPr>
      </w:pPr>
      <w:bookmarkStart w:id="0" w:name="_Hlk170280100"/>
      <w:r w:rsidRPr="00556542">
        <w:rPr>
          <w:rFonts w:ascii="Times New Roman" w:hAnsi="Times New Roman" w:cs="Times New Roman"/>
          <w:noProof/>
        </w:rPr>
        <w:drawing>
          <wp:inline distT="0" distB="0" distL="0" distR="0" wp14:anchorId="7B5E6477" wp14:editId="507143FB">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rsidRPr="00556542">
        <w:rPr>
          <w:rFonts w:ascii="Times New Roman" w:hAnsi="Times New Roman" w:cs="Times New Roman"/>
        </w:rPr>
        <w:t xml:space="preserve">   </w:t>
      </w:r>
    </w:p>
    <w:p w14:paraId="56F3F48F" w14:textId="77777777" w:rsidR="00945D8A" w:rsidRPr="00556542" w:rsidRDefault="00945D8A" w:rsidP="00945D8A">
      <w:pPr>
        <w:rPr>
          <w:rFonts w:ascii="Times New Roman" w:hAnsi="Times New Roman" w:cs="Times New Roman"/>
        </w:rPr>
      </w:pPr>
    </w:p>
    <w:p w14:paraId="67F9F5FA" w14:textId="6A9AD150" w:rsidR="00945D8A" w:rsidRPr="000916E5" w:rsidRDefault="00945D8A" w:rsidP="00945D8A">
      <w:pPr>
        <w:jc w:val="center"/>
        <w:rPr>
          <w:rFonts w:ascii="Times New Roman" w:hAnsi="Times New Roman" w:cs="Times New Roman"/>
          <w:b/>
          <w:bCs/>
        </w:rPr>
      </w:pPr>
      <w:r w:rsidRPr="000916E5">
        <w:rPr>
          <w:rFonts w:ascii="Times New Roman" w:hAnsi="Times New Roman" w:cs="Times New Roman"/>
          <w:b/>
          <w:bCs/>
        </w:rPr>
        <w:t>Operational Guidance 0</w:t>
      </w:r>
      <w:r>
        <w:rPr>
          <w:rFonts w:ascii="Times New Roman" w:hAnsi="Times New Roman" w:cs="Times New Roman"/>
          <w:b/>
          <w:bCs/>
        </w:rPr>
        <w:t>9</w:t>
      </w:r>
      <w:r w:rsidRPr="000916E5">
        <w:rPr>
          <w:rFonts w:ascii="Times New Roman" w:hAnsi="Times New Roman" w:cs="Times New Roman"/>
          <w:b/>
          <w:bCs/>
        </w:rPr>
        <w:t xml:space="preserve">-2024 – </w:t>
      </w:r>
      <w:r>
        <w:rPr>
          <w:rFonts w:ascii="Times New Roman" w:hAnsi="Times New Roman" w:cs="Times New Roman"/>
          <w:b/>
          <w:bCs/>
        </w:rPr>
        <w:t>Program Exits and Closures</w:t>
      </w:r>
    </w:p>
    <w:bookmarkEnd w:id="0"/>
    <w:p w14:paraId="4E9CD301" w14:textId="77777777" w:rsidR="008966C2" w:rsidRPr="00945D8A" w:rsidRDefault="008966C2" w:rsidP="00EF6AD5">
      <w:pPr>
        <w:jc w:val="center"/>
        <w:rPr>
          <w:rFonts w:ascii="Times New Roman" w:hAnsi="Times New Roman" w:cs="Times New Roman"/>
        </w:rPr>
      </w:pPr>
    </w:p>
    <w:p w14:paraId="7BE7E16B" w14:textId="6189EDBC" w:rsidR="00AA132B" w:rsidRPr="00EF2ACE" w:rsidRDefault="00AA132B" w:rsidP="00AA132B">
      <w:pPr>
        <w:jc w:val="both"/>
        <w:rPr>
          <w:rFonts w:ascii="Times New Roman" w:hAnsi="Times New Roman" w:cs="Times New Roman"/>
        </w:rPr>
      </w:pPr>
      <w:r w:rsidRPr="00EF2ACE">
        <w:rPr>
          <w:rFonts w:ascii="Times New Roman" w:hAnsi="Times New Roman" w:cs="Times New Roman"/>
        </w:rPr>
        <w:t xml:space="preserve">This guide is to provide guidance </w:t>
      </w:r>
      <w:r>
        <w:rPr>
          <w:rFonts w:ascii="Times New Roman" w:hAnsi="Times New Roman" w:cs="Times New Roman"/>
        </w:rPr>
        <w:t>for closing and exiting a participant</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75C88899" w14:textId="292D5DF4" w:rsidR="00BB0459" w:rsidRPr="00945D8A" w:rsidRDefault="00BB0459" w:rsidP="00945D8A">
      <w:pPr>
        <w:jc w:val="both"/>
        <w:rPr>
          <w:rFonts w:ascii="Times New Roman" w:hAnsi="Times New Roman" w:cs="Times New Roman"/>
        </w:rPr>
      </w:pPr>
    </w:p>
    <w:p w14:paraId="192D3D11" w14:textId="193B0C6B" w:rsidR="00BB0459" w:rsidRPr="00945D8A" w:rsidRDefault="006F75AA" w:rsidP="00945D8A">
      <w:pPr>
        <w:jc w:val="both"/>
        <w:rPr>
          <w:rFonts w:ascii="Times New Roman" w:hAnsi="Times New Roman" w:cs="Times New Roman"/>
        </w:rPr>
      </w:pPr>
      <w:r w:rsidRPr="00945D8A">
        <w:rPr>
          <w:rFonts w:ascii="Times New Roman" w:hAnsi="Times New Roman" w:cs="Times New Roman"/>
        </w:rPr>
        <w:t xml:space="preserve">An exit occurs when a participant has not received any services for 90 consecutive days and is not scheduled for future services. An exit will occur automatically with the date of exit applied retroactively to the last day </w:t>
      </w:r>
      <w:r w:rsidR="00624F7F" w:rsidRPr="00945D8A">
        <w:rPr>
          <w:rFonts w:ascii="Times New Roman" w:hAnsi="Times New Roman" w:cs="Times New Roman"/>
        </w:rPr>
        <w:t>on</w:t>
      </w:r>
      <w:r w:rsidRPr="00945D8A">
        <w:rPr>
          <w:rFonts w:ascii="Times New Roman" w:hAnsi="Times New Roman" w:cs="Times New Roman"/>
        </w:rPr>
        <w:t xml:space="preserve"> which </w:t>
      </w:r>
      <w:r w:rsidR="006E0208">
        <w:rPr>
          <w:rFonts w:ascii="Times New Roman" w:hAnsi="Times New Roman" w:cs="Times New Roman"/>
        </w:rPr>
        <w:t>a</w:t>
      </w:r>
      <w:r w:rsidRPr="00945D8A">
        <w:rPr>
          <w:rFonts w:ascii="Times New Roman" w:hAnsi="Times New Roman" w:cs="Times New Roman"/>
        </w:rPr>
        <w:t xml:space="preserve"> service was received.</w:t>
      </w:r>
    </w:p>
    <w:p w14:paraId="63943DF0" w14:textId="77777777" w:rsidR="00BB0459" w:rsidRPr="00945D8A" w:rsidRDefault="00BB0459" w:rsidP="00945D8A">
      <w:pPr>
        <w:jc w:val="both"/>
        <w:rPr>
          <w:rFonts w:ascii="Times New Roman" w:hAnsi="Times New Roman" w:cs="Times New Roman"/>
        </w:rPr>
      </w:pPr>
    </w:p>
    <w:p w14:paraId="4C7A2398" w14:textId="40C16726" w:rsidR="00BB0459" w:rsidRPr="00945D8A" w:rsidRDefault="006F75AA" w:rsidP="00945D8A">
      <w:pPr>
        <w:jc w:val="both"/>
        <w:rPr>
          <w:rFonts w:ascii="Times New Roman" w:hAnsi="Times New Roman" w:cs="Times New Roman"/>
        </w:rPr>
      </w:pPr>
      <w:r w:rsidRPr="00945D8A">
        <w:rPr>
          <w:rFonts w:ascii="Times New Roman" w:hAnsi="Times New Roman" w:cs="Times New Roman"/>
        </w:rPr>
        <w:t xml:space="preserve">Prior to a participant exiting, the career advisor must </w:t>
      </w:r>
      <w:r w:rsidR="004472C6" w:rsidRPr="00945D8A">
        <w:rPr>
          <w:rFonts w:ascii="Times New Roman" w:hAnsi="Times New Roman" w:cs="Times New Roman"/>
        </w:rPr>
        <w:t xml:space="preserve">ensure </w:t>
      </w:r>
      <w:r w:rsidRPr="00945D8A">
        <w:rPr>
          <w:rFonts w:ascii="Times New Roman" w:hAnsi="Times New Roman" w:cs="Times New Roman"/>
        </w:rPr>
        <w:t>the following:</w:t>
      </w:r>
    </w:p>
    <w:p w14:paraId="01521ACA" w14:textId="77777777" w:rsidR="008966C2" w:rsidRPr="00945D8A" w:rsidRDefault="008966C2" w:rsidP="00945D8A">
      <w:pPr>
        <w:jc w:val="both"/>
        <w:rPr>
          <w:rFonts w:ascii="Times New Roman" w:hAnsi="Times New Roman" w:cs="Times New Roman"/>
        </w:rPr>
      </w:pPr>
    </w:p>
    <w:p w14:paraId="21B2BFE4" w14:textId="77777777" w:rsidR="00036727" w:rsidRDefault="00036727" w:rsidP="00945D8A">
      <w:pPr>
        <w:pStyle w:val="ListParagraph"/>
        <w:numPr>
          <w:ilvl w:val="1"/>
          <w:numId w:val="1"/>
        </w:numPr>
        <w:jc w:val="both"/>
        <w:rPr>
          <w:rFonts w:ascii="Times New Roman" w:hAnsi="Times New Roman" w:cs="Times New Roman"/>
        </w:rPr>
      </w:pPr>
      <w:r w:rsidRPr="00036727">
        <w:rPr>
          <w:rFonts w:ascii="Times New Roman" w:hAnsi="Times New Roman" w:cs="Times New Roman"/>
        </w:rPr>
        <w:t>All activities have been properly closed, with supporting documentation uploaded to verify the dates. Each activity also includes a linked case note on the closure screen.</w:t>
      </w:r>
    </w:p>
    <w:p w14:paraId="37CEED21" w14:textId="2CF93131" w:rsidR="004472C6" w:rsidRPr="00945D8A" w:rsidRDefault="006F75AA" w:rsidP="00945D8A">
      <w:pPr>
        <w:pStyle w:val="ListParagraph"/>
        <w:numPr>
          <w:ilvl w:val="1"/>
          <w:numId w:val="1"/>
        </w:numPr>
        <w:jc w:val="both"/>
        <w:rPr>
          <w:rFonts w:ascii="Times New Roman" w:hAnsi="Times New Roman" w:cs="Times New Roman"/>
        </w:rPr>
      </w:pPr>
      <w:r w:rsidRPr="00945D8A">
        <w:rPr>
          <w:rFonts w:ascii="Times New Roman" w:hAnsi="Times New Roman" w:cs="Times New Roman"/>
        </w:rPr>
        <w:t xml:space="preserve">IEP/ISS </w:t>
      </w:r>
      <w:r w:rsidR="008B22D3" w:rsidRPr="00945D8A">
        <w:rPr>
          <w:rFonts w:ascii="Times New Roman" w:hAnsi="Times New Roman" w:cs="Times New Roman"/>
        </w:rPr>
        <w:t>h</w:t>
      </w:r>
      <w:r w:rsidRPr="00945D8A">
        <w:rPr>
          <w:rFonts w:ascii="Times New Roman" w:hAnsi="Times New Roman" w:cs="Times New Roman"/>
        </w:rPr>
        <w:t>a</w:t>
      </w:r>
      <w:r w:rsidR="00036727">
        <w:rPr>
          <w:rFonts w:ascii="Times New Roman" w:hAnsi="Times New Roman" w:cs="Times New Roman"/>
        </w:rPr>
        <w:t>s</w:t>
      </w:r>
      <w:r w:rsidRPr="00945D8A">
        <w:rPr>
          <w:rFonts w:ascii="Times New Roman" w:hAnsi="Times New Roman" w:cs="Times New Roman"/>
        </w:rPr>
        <w:t xml:space="preserve"> been closed properly</w:t>
      </w:r>
      <w:r w:rsidR="00624F7F">
        <w:rPr>
          <w:rFonts w:ascii="Times New Roman" w:hAnsi="Times New Roman" w:cs="Times New Roman"/>
        </w:rPr>
        <w:t xml:space="preserve">, </w:t>
      </w:r>
      <w:r w:rsidR="00624F7F" w:rsidRPr="00945D8A">
        <w:rPr>
          <w:rFonts w:ascii="Times New Roman" w:hAnsi="Times New Roman" w:cs="Times New Roman"/>
        </w:rPr>
        <w:t>including all goals and objectives</w:t>
      </w:r>
    </w:p>
    <w:p w14:paraId="27CF900E" w14:textId="77777777" w:rsidR="00624F7F" w:rsidRDefault="00624F7F" w:rsidP="00945D8A">
      <w:pPr>
        <w:pStyle w:val="ListParagraph"/>
        <w:numPr>
          <w:ilvl w:val="1"/>
          <w:numId w:val="1"/>
        </w:numPr>
        <w:jc w:val="both"/>
        <w:rPr>
          <w:rFonts w:ascii="Times New Roman" w:hAnsi="Times New Roman" w:cs="Times New Roman"/>
        </w:rPr>
      </w:pPr>
      <w:r>
        <w:rPr>
          <w:rFonts w:ascii="Times New Roman" w:hAnsi="Times New Roman" w:cs="Times New Roman"/>
        </w:rPr>
        <w:t xml:space="preserve">The last activity provided was a staff assisted activity and the linked case note on the closure screen includes: </w:t>
      </w:r>
    </w:p>
    <w:p w14:paraId="127CC1B1" w14:textId="5CC3149A" w:rsidR="00624F7F" w:rsidRDefault="00624F7F" w:rsidP="00624F7F">
      <w:pPr>
        <w:pStyle w:val="ListParagraph"/>
        <w:numPr>
          <w:ilvl w:val="2"/>
          <w:numId w:val="1"/>
        </w:numPr>
        <w:jc w:val="both"/>
        <w:rPr>
          <w:rFonts w:ascii="Times New Roman" w:hAnsi="Times New Roman" w:cs="Times New Roman"/>
        </w:rPr>
      </w:pPr>
      <w:r>
        <w:rPr>
          <w:rFonts w:ascii="Times New Roman" w:hAnsi="Times New Roman" w:cs="Times New Roman"/>
        </w:rPr>
        <w:t>Date</w:t>
      </w:r>
    </w:p>
    <w:p w14:paraId="22C72CE2" w14:textId="71A2A4CB" w:rsidR="00624F7F" w:rsidRDefault="00624F7F" w:rsidP="00624F7F">
      <w:pPr>
        <w:pStyle w:val="ListParagraph"/>
        <w:numPr>
          <w:ilvl w:val="2"/>
          <w:numId w:val="1"/>
        </w:numPr>
        <w:jc w:val="both"/>
        <w:rPr>
          <w:rFonts w:ascii="Times New Roman" w:hAnsi="Times New Roman" w:cs="Times New Roman"/>
        </w:rPr>
      </w:pPr>
      <w:r>
        <w:rPr>
          <w:rFonts w:ascii="Times New Roman" w:hAnsi="Times New Roman" w:cs="Times New Roman"/>
        </w:rPr>
        <w:t>Formal closure reason (no longer in need of services, successfully completed program, etc.)</w:t>
      </w:r>
    </w:p>
    <w:p w14:paraId="0E322539" w14:textId="2CBD3EA3" w:rsidR="00624F7F" w:rsidRDefault="00624F7F" w:rsidP="00624F7F">
      <w:pPr>
        <w:pStyle w:val="ListParagraph"/>
        <w:numPr>
          <w:ilvl w:val="2"/>
          <w:numId w:val="1"/>
        </w:numPr>
        <w:jc w:val="both"/>
        <w:rPr>
          <w:rFonts w:ascii="Times New Roman" w:hAnsi="Times New Roman" w:cs="Times New Roman"/>
        </w:rPr>
      </w:pPr>
      <w:r>
        <w:rPr>
          <w:rFonts w:ascii="Times New Roman" w:hAnsi="Times New Roman" w:cs="Times New Roman"/>
        </w:rPr>
        <w:t>Summary of what the participant accomplished during their time in the program (training, credential, MSG, employment, etc.)</w:t>
      </w:r>
    </w:p>
    <w:p w14:paraId="1868904E" w14:textId="65991880" w:rsidR="00624F7F" w:rsidRPr="00624F7F" w:rsidRDefault="00624F7F" w:rsidP="00624F7F">
      <w:pPr>
        <w:pStyle w:val="ListParagraph"/>
        <w:numPr>
          <w:ilvl w:val="2"/>
          <w:numId w:val="1"/>
        </w:numPr>
        <w:jc w:val="both"/>
        <w:rPr>
          <w:rFonts w:ascii="Times New Roman" w:hAnsi="Times New Roman" w:cs="Times New Roman"/>
        </w:rPr>
      </w:pPr>
      <w:r>
        <w:rPr>
          <w:rFonts w:ascii="Times New Roman" w:hAnsi="Times New Roman" w:cs="Times New Roman"/>
        </w:rPr>
        <w:t>“Participant was made aware of follow-up”</w:t>
      </w:r>
    </w:p>
    <w:p w14:paraId="1FE87B00" w14:textId="7D942BAC" w:rsidR="008966C2" w:rsidRDefault="006F75AA" w:rsidP="00945D8A">
      <w:pPr>
        <w:pStyle w:val="ListParagraph"/>
        <w:numPr>
          <w:ilvl w:val="1"/>
          <w:numId w:val="1"/>
        </w:numPr>
        <w:jc w:val="both"/>
        <w:rPr>
          <w:rFonts w:ascii="Times New Roman" w:hAnsi="Times New Roman" w:cs="Times New Roman"/>
        </w:rPr>
      </w:pPr>
      <w:r w:rsidRPr="00945D8A">
        <w:rPr>
          <w:rFonts w:ascii="Times New Roman" w:hAnsi="Times New Roman" w:cs="Times New Roman"/>
        </w:rPr>
        <w:t>All Measurable Skill Gains and credentials earned during enrollment have been recorded and verification has been scanned into NCWorks</w:t>
      </w:r>
    </w:p>
    <w:p w14:paraId="08EC5A7F" w14:textId="4D32B641" w:rsidR="00624F7F" w:rsidRDefault="00624F7F" w:rsidP="00945D8A">
      <w:pPr>
        <w:pStyle w:val="ListParagraph"/>
        <w:numPr>
          <w:ilvl w:val="1"/>
          <w:numId w:val="1"/>
        </w:numPr>
        <w:jc w:val="both"/>
        <w:rPr>
          <w:rFonts w:ascii="Times New Roman" w:hAnsi="Times New Roman" w:cs="Times New Roman"/>
        </w:rPr>
      </w:pPr>
      <w:r>
        <w:rPr>
          <w:rFonts w:ascii="Times New Roman" w:hAnsi="Times New Roman" w:cs="Times New Roman"/>
        </w:rPr>
        <w:t>Employment has been verified using the Employment Verification Form (and paystubs) or the Employer Verification Form</w:t>
      </w:r>
    </w:p>
    <w:p w14:paraId="4A76D0F7" w14:textId="25E618D8" w:rsidR="00624F7F" w:rsidRPr="00945D8A" w:rsidRDefault="00624F7F" w:rsidP="00945D8A">
      <w:pPr>
        <w:pStyle w:val="ListParagraph"/>
        <w:numPr>
          <w:ilvl w:val="1"/>
          <w:numId w:val="1"/>
        </w:numPr>
        <w:jc w:val="both"/>
        <w:rPr>
          <w:rFonts w:ascii="Times New Roman" w:hAnsi="Times New Roman" w:cs="Times New Roman"/>
        </w:rPr>
      </w:pPr>
      <w:r>
        <w:rPr>
          <w:rFonts w:ascii="Times New Roman" w:hAnsi="Times New Roman" w:cs="Times New Roman"/>
        </w:rPr>
        <w:t xml:space="preserve">Participant has been made aware of follow up. </w:t>
      </w:r>
    </w:p>
    <w:p w14:paraId="75AC157B" w14:textId="24A12BAF" w:rsidR="004472C6" w:rsidRPr="00945D8A" w:rsidRDefault="004472C6" w:rsidP="00945D8A">
      <w:pPr>
        <w:pStyle w:val="ListParagraph"/>
        <w:numPr>
          <w:ilvl w:val="1"/>
          <w:numId w:val="1"/>
        </w:numPr>
        <w:jc w:val="both"/>
        <w:rPr>
          <w:rFonts w:ascii="Times New Roman" w:hAnsi="Times New Roman" w:cs="Times New Roman"/>
        </w:rPr>
      </w:pPr>
      <w:r w:rsidRPr="00945D8A">
        <w:rPr>
          <w:rFonts w:ascii="Times New Roman" w:hAnsi="Times New Roman" w:cs="Times New Roman"/>
        </w:rPr>
        <w:t>All means of contact attempted ha</w:t>
      </w:r>
      <w:r w:rsidR="00624F7F">
        <w:rPr>
          <w:rFonts w:ascii="Times New Roman" w:hAnsi="Times New Roman" w:cs="Times New Roman"/>
        </w:rPr>
        <w:t>ve</w:t>
      </w:r>
      <w:r w:rsidRPr="00945D8A">
        <w:rPr>
          <w:rFonts w:ascii="Times New Roman" w:hAnsi="Times New Roman" w:cs="Times New Roman"/>
        </w:rPr>
        <w:t xml:space="preserve"> been documented, </w:t>
      </w:r>
      <w:r w:rsidRPr="00945D8A">
        <w:rPr>
          <w:rFonts w:ascii="Times New Roman" w:hAnsi="Times New Roman" w:cs="Times New Roman"/>
          <w:i/>
          <w:iCs/>
        </w:rPr>
        <w:t xml:space="preserve">if applicable </w:t>
      </w:r>
    </w:p>
    <w:p w14:paraId="4E58D426" w14:textId="2EBC56E6" w:rsidR="004472C6" w:rsidRPr="00945D8A" w:rsidRDefault="004472C6" w:rsidP="00945D8A">
      <w:pPr>
        <w:pStyle w:val="ListParagraph"/>
        <w:numPr>
          <w:ilvl w:val="1"/>
          <w:numId w:val="1"/>
        </w:numPr>
        <w:jc w:val="both"/>
        <w:rPr>
          <w:rFonts w:ascii="Times New Roman" w:hAnsi="Times New Roman" w:cs="Times New Roman"/>
        </w:rPr>
      </w:pPr>
      <w:r w:rsidRPr="00945D8A">
        <w:rPr>
          <w:rFonts w:ascii="Times New Roman" w:hAnsi="Times New Roman" w:cs="Times New Roman"/>
        </w:rPr>
        <w:t xml:space="preserve">Drop out form </w:t>
      </w:r>
      <w:r w:rsidR="008B22D3" w:rsidRPr="00945D8A">
        <w:rPr>
          <w:rFonts w:ascii="Times New Roman" w:hAnsi="Times New Roman" w:cs="Times New Roman"/>
        </w:rPr>
        <w:t>scanned</w:t>
      </w:r>
      <w:r w:rsidRPr="00945D8A">
        <w:rPr>
          <w:rFonts w:ascii="Times New Roman" w:hAnsi="Times New Roman" w:cs="Times New Roman"/>
        </w:rPr>
        <w:t xml:space="preserve">, and program activity matches last date of attendance listed on from, </w:t>
      </w:r>
      <w:r w:rsidRPr="00945D8A">
        <w:rPr>
          <w:rFonts w:ascii="Times New Roman" w:hAnsi="Times New Roman" w:cs="Times New Roman"/>
          <w:i/>
          <w:iCs/>
        </w:rPr>
        <w:t xml:space="preserve">if applicable </w:t>
      </w:r>
    </w:p>
    <w:p w14:paraId="2FF793F9" w14:textId="494193E2" w:rsidR="004C55CD" w:rsidRPr="00945D8A" w:rsidRDefault="004C55CD" w:rsidP="00945D8A">
      <w:pPr>
        <w:jc w:val="both"/>
        <w:rPr>
          <w:rFonts w:ascii="Times New Roman" w:hAnsi="Times New Roman" w:cs="Times New Roman"/>
        </w:rPr>
      </w:pPr>
    </w:p>
    <w:p w14:paraId="1B3E216D" w14:textId="1E94D9E1" w:rsidR="00036727" w:rsidRPr="00945D8A" w:rsidRDefault="00036727" w:rsidP="00036727">
      <w:pPr>
        <w:jc w:val="both"/>
        <w:rPr>
          <w:rFonts w:ascii="Times New Roman" w:hAnsi="Times New Roman" w:cs="Times New Roman"/>
        </w:rPr>
      </w:pPr>
      <w:r w:rsidRPr="00945D8A">
        <w:rPr>
          <w:rFonts w:ascii="Times New Roman" w:hAnsi="Times New Roman" w:cs="Times New Roman"/>
        </w:rPr>
        <w:t>Should a participant need to be excluded from performance, an exclusion request should be forwarded to the Local Area staff for approval</w:t>
      </w:r>
      <w:r>
        <w:rPr>
          <w:rFonts w:ascii="Times New Roman" w:hAnsi="Times New Roman" w:cs="Times New Roman"/>
        </w:rPr>
        <w:t xml:space="preserve"> prior to the exit posting in NCWorks</w:t>
      </w:r>
      <w:r w:rsidRPr="00945D8A">
        <w:rPr>
          <w:rFonts w:ascii="Times New Roman" w:hAnsi="Times New Roman" w:cs="Times New Roman"/>
        </w:rPr>
        <w:t>. Exclusions must be documented in case notes, have verification scanned into NCWorks in the</w:t>
      </w:r>
      <w:r>
        <w:rPr>
          <w:rFonts w:ascii="Times New Roman" w:hAnsi="Times New Roman" w:cs="Times New Roman"/>
        </w:rPr>
        <w:t xml:space="preserve"> </w:t>
      </w:r>
      <w:r w:rsidRPr="00945D8A">
        <w:rPr>
          <w:rFonts w:ascii="Times New Roman" w:hAnsi="Times New Roman" w:cs="Times New Roman"/>
        </w:rPr>
        <w:t>Create Outcome section.</w:t>
      </w:r>
    </w:p>
    <w:p w14:paraId="36AA7019" w14:textId="77777777" w:rsidR="00036727" w:rsidRDefault="00036727" w:rsidP="00036727">
      <w:pPr>
        <w:jc w:val="both"/>
        <w:rPr>
          <w:rFonts w:ascii="Times New Roman" w:hAnsi="Times New Roman" w:cs="Times New Roman"/>
        </w:rPr>
      </w:pPr>
    </w:p>
    <w:p w14:paraId="1D827ACA" w14:textId="2F42F47F" w:rsidR="00036727" w:rsidRPr="00945D8A" w:rsidRDefault="00036727" w:rsidP="00036727">
      <w:pPr>
        <w:jc w:val="both"/>
        <w:rPr>
          <w:rFonts w:ascii="Times New Roman" w:hAnsi="Times New Roman" w:cs="Times New Roman"/>
        </w:rPr>
      </w:pPr>
      <w:r w:rsidRPr="00945D8A">
        <w:rPr>
          <w:rFonts w:ascii="Times New Roman" w:hAnsi="Times New Roman" w:cs="Times New Roman"/>
        </w:rPr>
        <w:t>Exclusions are:</w:t>
      </w:r>
    </w:p>
    <w:p w14:paraId="31AD4DB6" w14:textId="77777777" w:rsidR="00036727" w:rsidRPr="00945D8A" w:rsidRDefault="00036727" w:rsidP="00036727">
      <w:pPr>
        <w:pStyle w:val="ListParagraph"/>
        <w:numPr>
          <w:ilvl w:val="0"/>
          <w:numId w:val="4"/>
        </w:numPr>
        <w:jc w:val="both"/>
        <w:rPr>
          <w:rFonts w:ascii="Times New Roman" w:hAnsi="Times New Roman" w:cs="Times New Roman"/>
        </w:rPr>
      </w:pPr>
      <w:r w:rsidRPr="00945D8A">
        <w:rPr>
          <w:rFonts w:ascii="Times New Roman" w:hAnsi="Times New Roman" w:cs="Times New Roman"/>
        </w:rPr>
        <w:t>Institutionalized</w:t>
      </w:r>
    </w:p>
    <w:p w14:paraId="608AFDAE" w14:textId="77777777" w:rsidR="00036727" w:rsidRPr="00945D8A" w:rsidRDefault="00036727" w:rsidP="00036727">
      <w:pPr>
        <w:pStyle w:val="ListParagraph"/>
        <w:numPr>
          <w:ilvl w:val="0"/>
          <w:numId w:val="4"/>
        </w:numPr>
        <w:jc w:val="both"/>
        <w:rPr>
          <w:rFonts w:ascii="Times New Roman" w:hAnsi="Times New Roman" w:cs="Times New Roman"/>
        </w:rPr>
      </w:pPr>
      <w:r w:rsidRPr="00945D8A">
        <w:rPr>
          <w:rFonts w:ascii="Times New Roman" w:hAnsi="Times New Roman" w:cs="Times New Roman"/>
        </w:rPr>
        <w:t>Health/Medical</w:t>
      </w:r>
    </w:p>
    <w:p w14:paraId="4F32EFC0" w14:textId="77777777" w:rsidR="00036727" w:rsidRPr="00945D8A" w:rsidRDefault="00036727" w:rsidP="00036727">
      <w:pPr>
        <w:pStyle w:val="ListParagraph"/>
        <w:numPr>
          <w:ilvl w:val="0"/>
          <w:numId w:val="4"/>
        </w:numPr>
        <w:jc w:val="both"/>
        <w:rPr>
          <w:rFonts w:ascii="Times New Roman" w:hAnsi="Times New Roman" w:cs="Times New Roman"/>
        </w:rPr>
      </w:pPr>
      <w:r w:rsidRPr="00945D8A">
        <w:rPr>
          <w:rFonts w:ascii="Times New Roman" w:hAnsi="Times New Roman" w:cs="Times New Roman"/>
        </w:rPr>
        <w:t>Deceased</w:t>
      </w:r>
    </w:p>
    <w:p w14:paraId="70247608" w14:textId="77777777" w:rsidR="00036727" w:rsidRPr="00945D8A" w:rsidRDefault="00036727" w:rsidP="00036727">
      <w:pPr>
        <w:pStyle w:val="ListParagraph"/>
        <w:numPr>
          <w:ilvl w:val="0"/>
          <w:numId w:val="4"/>
        </w:numPr>
        <w:jc w:val="both"/>
        <w:rPr>
          <w:rFonts w:ascii="Times New Roman" w:hAnsi="Times New Roman" w:cs="Times New Roman"/>
        </w:rPr>
      </w:pPr>
      <w:r w:rsidRPr="00945D8A">
        <w:rPr>
          <w:rFonts w:ascii="Times New Roman" w:hAnsi="Times New Roman" w:cs="Times New Roman"/>
        </w:rPr>
        <w:t>Reservist Called to Active Duty</w:t>
      </w:r>
    </w:p>
    <w:p w14:paraId="41D11694" w14:textId="77777777" w:rsidR="00036727" w:rsidRPr="00945D8A" w:rsidRDefault="00036727" w:rsidP="00036727">
      <w:pPr>
        <w:pStyle w:val="ListParagraph"/>
        <w:numPr>
          <w:ilvl w:val="0"/>
          <w:numId w:val="4"/>
        </w:numPr>
        <w:jc w:val="both"/>
        <w:rPr>
          <w:rFonts w:ascii="Times New Roman" w:hAnsi="Times New Roman" w:cs="Times New Roman"/>
        </w:rPr>
      </w:pPr>
      <w:r w:rsidRPr="00945D8A">
        <w:rPr>
          <w:rFonts w:ascii="Times New Roman" w:hAnsi="Times New Roman" w:cs="Times New Roman"/>
        </w:rPr>
        <w:t>Retirement</w:t>
      </w:r>
    </w:p>
    <w:p w14:paraId="0D5C0768" w14:textId="77777777" w:rsidR="00036727" w:rsidRPr="00945D8A" w:rsidRDefault="00036727" w:rsidP="00036727">
      <w:pPr>
        <w:pStyle w:val="ListParagraph"/>
        <w:numPr>
          <w:ilvl w:val="0"/>
          <w:numId w:val="4"/>
        </w:numPr>
        <w:jc w:val="both"/>
        <w:rPr>
          <w:rFonts w:ascii="Times New Roman" w:hAnsi="Times New Roman" w:cs="Times New Roman"/>
        </w:rPr>
      </w:pPr>
      <w:r w:rsidRPr="00945D8A">
        <w:rPr>
          <w:rFonts w:ascii="Times New Roman" w:hAnsi="Times New Roman" w:cs="Times New Roman"/>
        </w:rPr>
        <w:t>In foster care and moved from area by foster care system (Youth)</w:t>
      </w:r>
    </w:p>
    <w:p w14:paraId="6A9A47C3" w14:textId="3C7047BF" w:rsidR="004472C6" w:rsidRPr="00945D8A" w:rsidRDefault="004472C6" w:rsidP="00945D8A">
      <w:pPr>
        <w:jc w:val="both"/>
        <w:rPr>
          <w:rFonts w:ascii="Times New Roman" w:hAnsi="Times New Roman" w:cs="Times New Roman"/>
        </w:rPr>
      </w:pPr>
    </w:p>
    <w:p w14:paraId="3A7D5084" w14:textId="4308C033" w:rsidR="004472C6" w:rsidRDefault="004472C6" w:rsidP="00945D8A">
      <w:pPr>
        <w:jc w:val="both"/>
        <w:rPr>
          <w:rFonts w:ascii="Times New Roman" w:hAnsi="Times New Roman" w:cs="Times New Roman"/>
        </w:rPr>
      </w:pPr>
      <w:r w:rsidRPr="00945D8A">
        <w:rPr>
          <w:rFonts w:ascii="Times New Roman" w:hAnsi="Times New Roman" w:cs="Times New Roman"/>
        </w:rPr>
        <w:t xml:space="preserve">After the exit </w:t>
      </w:r>
      <w:r w:rsidR="006E0208">
        <w:rPr>
          <w:rFonts w:ascii="Times New Roman" w:hAnsi="Times New Roman" w:cs="Times New Roman"/>
        </w:rPr>
        <w:t>has</w:t>
      </w:r>
      <w:r w:rsidRPr="00945D8A">
        <w:rPr>
          <w:rFonts w:ascii="Times New Roman" w:hAnsi="Times New Roman" w:cs="Times New Roman"/>
        </w:rPr>
        <w:t xml:space="preserve"> posted in NCWorks, staff should complete the Create Closure </w:t>
      </w:r>
      <w:r w:rsidR="006E0208">
        <w:rPr>
          <w:rFonts w:ascii="Times New Roman" w:hAnsi="Times New Roman" w:cs="Times New Roman"/>
        </w:rPr>
        <w:t>tab</w:t>
      </w:r>
      <w:r w:rsidRPr="00945D8A">
        <w:rPr>
          <w:rFonts w:ascii="Times New Roman" w:hAnsi="Times New Roman" w:cs="Times New Roman"/>
        </w:rPr>
        <w:t xml:space="preserve"> in NCWorks to capture the participant’s status.</w:t>
      </w:r>
    </w:p>
    <w:p w14:paraId="35D68817" w14:textId="77777777" w:rsidR="00036727" w:rsidRDefault="00036727" w:rsidP="00945D8A">
      <w:pPr>
        <w:jc w:val="both"/>
        <w:rPr>
          <w:rFonts w:ascii="Times New Roman" w:hAnsi="Times New Roman" w:cs="Times New Roman"/>
        </w:rPr>
      </w:pPr>
    </w:p>
    <w:p w14:paraId="7A3D9E0D" w14:textId="346A0E23" w:rsidR="00036727" w:rsidRDefault="00036727" w:rsidP="00945D8A">
      <w:pPr>
        <w:jc w:val="both"/>
        <w:rPr>
          <w:rFonts w:ascii="Times New Roman" w:hAnsi="Times New Roman" w:cs="Times New Roman"/>
        </w:rPr>
      </w:pPr>
      <w:r>
        <w:rPr>
          <w:rFonts w:ascii="Times New Roman" w:hAnsi="Times New Roman" w:cs="Times New Roman"/>
        </w:rPr>
        <w:t>FOLLOW-UP</w:t>
      </w:r>
    </w:p>
    <w:p w14:paraId="0FAEDA0E" w14:textId="42D3D302" w:rsidR="00D60C06" w:rsidRDefault="00036727" w:rsidP="00945D8A">
      <w:pPr>
        <w:jc w:val="both"/>
        <w:rPr>
          <w:rFonts w:ascii="Times New Roman" w:hAnsi="Times New Roman" w:cs="Times New Roman"/>
        </w:rPr>
      </w:pPr>
      <w:r>
        <w:rPr>
          <w:rFonts w:ascii="Times New Roman" w:hAnsi="Times New Roman" w:cs="Times New Roman"/>
        </w:rPr>
        <w:t xml:space="preserve">Follow-up services must be provided to all participants for up to 12 months after exit. </w:t>
      </w:r>
      <w:r w:rsidR="0030751B">
        <w:rPr>
          <w:rFonts w:ascii="Times New Roman" w:hAnsi="Times New Roman" w:cs="Times New Roman"/>
        </w:rPr>
        <w:t>Follow-up may extend past 12 months for Youth participants.</w:t>
      </w:r>
      <w:r w:rsidR="00D60C06" w:rsidRPr="00D60C06">
        <w:rPr>
          <w:rFonts w:ascii="Times New Roman" w:hAnsi="Times New Roman" w:cs="Times New Roman"/>
        </w:rPr>
        <w:t xml:space="preserve"> </w:t>
      </w:r>
      <w:r w:rsidR="00D60C06">
        <w:rPr>
          <w:rFonts w:ascii="Times New Roman" w:hAnsi="Times New Roman" w:cs="Times New Roman"/>
        </w:rPr>
        <w:t>Follow-up must be entered into the follow-up tab of NCWorks Online along with case notes summarizing the services or outcomes. A F-code must also be recorded in the activities tab.</w:t>
      </w:r>
    </w:p>
    <w:p w14:paraId="2DC3BA78" w14:textId="77777777" w:rsidR="00D60C06" w:rsidRDefault="00D60C06" w:rsidP="00945D8A">
      <w:pPr>
        <w:jc w:val="both"/>
        <w:rPr>
          <w:rFonts w:ascii="Times New Roman" w:hAnsi="Times New Roman" w:cs="Times New Roman"/>
        </w:rPr>
      </w:pPr>
    </w:p>
    <w:p w14:paraId="49CFB316" w14:textId="6E95506A" w:rsidR="001B6395" w:rsidRDefault="00D60C06" w:rsidP="00945D8A">
      <w:pPr>
        <w:jc w:val="both"/>
        <w:rPr>
          <w:rFonts w:ascii="Times New Roman" w:hAnsi="Times New Roman" w:cs="Times New Roman"/>
        </w:rPr>
      </w:pPr>
      <w:r>
        <w:rPr>
          <w:rFonts w:ascii="Times New Roman" w:hAnsi="Times New Roman" w:cs="Times New Roman"/>
        </w:rPr>
        <w:t>C</w:t>
      </w:r>
      <w:r w:rsidRPr="00D60C06">
        <w:rPr>
          <w:rFonts w:ascii="Times New Roman" w:hAnsi="Times New Roman" w:cs="Times New Roman"/>
        </w:rPr>
        <w:t xml:space="preserve">ontact attempts or the collection of documentation to support performance outcomes are important for tracking and reporting purposes, </w:t>
      </w:r>
      <w:r>
        <w:rPr>
          <w:rFonts w:ascii="Times New Roman" w:hAnsi="Times New Roman" w:cs="Times New Roman"/>
        </w:rPr>
        <w:t xml:space="preserve">but </w:t>
      </w:r>
      <w:r w:rsidRPr="00D60C06">
        <w:rPr>
          <w:rFonts w:ascii="Times New Roman" w:hAnsi="Times New Roman" w:cs="Times New Roman"/>
        </w:rPr>
        <w:t>they are not considered follow-up services. Follow-up services must provide direct support that assists the participant in retaining or advancing in employment or education. However, any credentials earned within 12 months after a participant’s exit from the program should still be documented and entered in NCWorks Online, as they are essential for meeting performance reporting requirements—particularly for the credential attainment rate.</w:t>
      </w:r>
    </w:p>
    <w:p w14:paraId="7D9B4DF9" w14:textId="77777777" w:rsidR="00D60C06" w:rsidRDefault="00D60C06" w:rsidP="00945D8A">
      <w:pPr>
        <w:jc w:val="both"/>
        <w:rPr>
          <w:rFonts w:ascii="Times New Roman" w:hAnsi="Times New Roman" w:cs="Times New Roman"/>
        </w:rPr>
      </w:pPr>
    </w:p>
    <w:p w14:paraId="5B856DEB" w14:textId="61AC0431" w:rsidR="001B6395" w:rsidRDefault="001B6395" w:rsidP="00945D8A">
      <w:pPr>
        <w:jc w:val="both"/>
        <w:rPr>
          <w:rFonts w:ascii="Times New Roman" w:hAnsi="Times New Roman" w:cs="Times New Roman"/>
        </w:rPr>
      </w:pPr>
      <w:r>
        <w:rPr>
          <w:rFonts w:ascii="Times New Roman" w:hAnsi="Times New Roman" w:cs="Times New Roman"/>
        </w:rPr>
        <w:t>Follow-up services for Adults and Dislocated Workers may include, but are not limited to:</w:t>
      </w:r>
    </w:p>
    <w:p w14:paraId="1DE4A69C" w14:textId="77777777" w:rsidR="001B6395" w:rsidRPr="001B6395" w:rsidRDefault="001B6395" w:rsidP="001B6395">
      <w:pPr>
        <w:pStyle w:val="ListParagraph"/>
        <w:numPr>
          <w:ilvl w:val="0"/>
          <w:numId w:val="5"/>
        </w:numPr>
        <w:jc w:val="both"/>
        <w:rPr>
          <w:rFonts w:ascii="Times New Roman" w:hAnsi="Times New Roman" w:cs="Times New Roman"/>
        </w:rPr>
      </w:pPr>
      <w:r w:rsidRPr="001B6395">
        <w:rPr>
          <w:rFonts w:ascii="Times New Roman" w:hAnsi="Times New Roman" w:cs="Times New Roman"/>
        </w:rPr>
        <w:t xml:space="preserve">Additional career planning and counseling; </w:t>
      </w:r>
    </w:p>
    <w:p w14:paraId="2401539F" w14:textId="77777777" w:rsidR="001B6395" w:rsidRDefault="001B6395" w:rsidP="001B6395">
      <w:pPr>
        <w:pStyle w:val="ListParagraph"/>
        <w:numPr>
          <w:ilvl w:val="0"/>
          <w:numId w:val="5"/>
        </w:numPr>
        <w:jc w:val="both"/>
        <w:rPr>
          <w:rFonts w:ascii="Times New Roman" w:hAnsi="Times New Roman" w:cs="Times New Roman"/>
        </w:rPr>
      </w:pPr>
      <w:r w:rsidRPr="001B6395">
        <w:rPr>
          <w:rFonts w:ascii="Times New Roman" w:hAnsi="Times New Roman" w:cs="Times New Roman"/>
        </w:rPr>
        <w:t>Contact with the participant's employer, including assistance with work</w:t>
      </w:r>
      <w:r>
        <w:rPr>
          <w:rFonts w:ascii="Times New Roman" w:hAnsi="Times New Roman" w:cs="Times New Roman"/>
        </w:rPr>
        <w:t xml:space="preserve"> </w:t>
      </w:r>
      <w:r w:rsidRPr="001B6395">
        <w:rPr>
          <w:rFonts w:ascii="Times New Roman" w:hAnsi="Times New Roman" w:cs="Times New Roman"/>
        </w:rPr>
        <w:t>related problems that may arise;</w:t>
      </w:r>
    </w:p>
    <w:p w14:paraId="43E90151" w14:textId="77777777" w:rsidR="001B6395" w:rsidRDefault="001B6395" w:rsidP="001B6395">
      <w:pPr>
        <w:pStyle w:val="ListParagraph"/>
        <w:numPr>
          <w:ilvl w:val="0"/>
          <w:numId w:val="5"/>
        </w:numPr>
        <w:jc w:val="both"/>
        <w:rPr>
          <w:rFonts w:ascii="Times New Roman" w:hAnsi="Times New Roman" w:cs="Times New Roman"/>
        </w:rPr>
      </w:pPr>
      <w:r w:rsidRPr="001B6395">
        <w:rPr>
          <w:rFonts w:ascii="Times New Roman" w:hAnsi="Times New Roman" w:cs="Times New Roman"/>
        </w:rPr>
        <w:t>Peer support groups;</w:t>
      </w:r>
    </w:p>
    <w:p w14:paraId="64BD5CB4" w14:textId="77777777" w:rsidR="001B6395" w:rsidRDefault="001B6395" w:rsidP="001B6395">
      <w:pPr>
        <w:pStyle w:val="ListParagraph"/>
        <w:numPr>
          <w:ilvl w:val="0"/>
          <w:numId w:val="5"/>
        </w:numPr>
        <w:jc w:val="both"/>
        <w:rPr>
          <w:rFonts w:ascii="Times New Roman" w:hAnsi="Times New Roman" w:cs="Times New Roman"/>
        </w:rPr>
      </w:pPr>
      <w:r w:rsidRPr="001B6395">
        <w:rPr>
          <w:rFonts w:ascii="Times New Roman" w:hAnsi="Times New Roman" w:cs="Times New Roman"/>
        </w:rPr>
        <w:t>Information about additional educational opportunities, and referral to supportive services available in the community; and</w:t>
      </w:r>
    </w:p>
    <w:p w14:paraId="19622BB1" w14:textId="42C3987A" w:rsidR="001B6395" w:rsidRDefault="001B6395" w:rsidP="001B6395">
      <w:pPr>
        <w:pStyle w:val="ListParagraph"/>
        <w:numPr>
          <w:ilvl w:val="0"/>
          <w:numId w:val="5"/>
        </w:numPr>
        <w:jc w:val="both"/>
        <w:rPr>
          <w:rFonts w:ascii="Times New Roman" w:hAnsi="Times New Roman" w:cs="Times New Roman"/>
        </w:rPr>
      </w:pPr>
      <w:r w:rsidRPr="001B6395">
        <w:rPr>
          <w:rFonts w:ascii="Times New Roman" w:hAnsi="Times New Roman" w:cs="Times New Roman"/>
        </w:rPr>
        <w:t>Other services.</w:t>
      </w:r>
    </w:p>
    <w:p w14:paraId="166AD2A5" w14:textId="77777777" w:rsidR="0030751B" w:rsidRDefault="0030751B" w:rsidP="0030751B">
      <w:pPr>
        <w:jc w:val="both"/>
        <w:rPr>
          <w:rFonts w:ascii="Times New Roman" w:hAnsi="Times New Roman" w:cs="Times New Roman"/>
        </w:rPr>
      </w:pPr>
    </w:p>
    <w:p w14:paraId="25B99A80" w14:textId="5C68DC37" w:rsidR="0030751B" w:rsidRPr="0030751B" w:rsidRDefault="0030751B" w:rsidP="0030751B">
      <w:pPr>
        <w:jc w:val="both"/>
        <w:rPr>
          <w:rFonts w:ascii="Times New Roman" w:hAnsi="Times New Roman" w:cs="Times New Roman"/>
        </w:rPr>
      </w:pPr>
      <w:r>
        <w:rPr>
          <w:rFonts w:ascii="Times New Roman" w:hAnsi="Times New Roman" w:cs="Times New Roman"/>
        </w:rPr>
        <w:t>I</w:t>
      </w:r>
      <w:r w:rsidRPr="001B6395">
        <w:rPr>
          <w:rFonts w:ascii="Times New Roman" w:hAnsi="Times New Roman" w:cs="Times New Roman"/>
        </w:rPr>
        <w:t>f the required follow-up services are refused by registered Adults and Dislocated Workers, proper documentation must be provided explaining the refusal.</w:t>
      </w:r>
    </w:p>
    <w:p w14:paraId="36474293" w14:textId="77777777" w:rsidR="0030751B" w:rsidRDefault="0030751B" w:rsidP="00945D8A">
      <w:pPr>
        <w:jc w:val="both"/>
        <w:rPr>
          <w:rFonts w:ascii="Times New Roman" w:hAnsi="Times New Roman" w:cs="Times New Roman"/>
        </w:rPr>
      </w:pPr>
    </w:p>
    <w:p w14:paraId="37C2DF41" w14:textId="7FC93287" w:rsidR="001B6395" w:rsidRDefault="0030751B" w:rsidP="00945D8A">
      <w:pPr>
        <w:jc w:val="both"/>
        <w:rPr>
          <w:rFonts w:ascii="Times New Roman" w:hAnsi="Times New Roman" w:cs="Times New Roman"/>
        </w:rPr>
      </w:pPr>
      <w:r>
        <w:rPr>
          <w:rFonts w:ascii="Times New Roman" w:hAnsi="Times New Roman" w:cs="Times New Roman"/>
        </w:rPr>
        <w:t>Follow-up services for Youth may include, but are not limited to:</w:t>
      </w:r>
    </w:p>
    <w:p w14:paraId="2C84A7B7" w14:textId="77777777" w:rsid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Regular contact with a youth participant's employer, including assistance in addressing work-related problems that arise;</w:t>
      </w:r>
    </w:p>
    <w:p w14:paraId="4D0E5D16" w14:textId="77777777" w:rsid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Assistance in securing better-paying jobs, career development, and further education;</w:t>
      </w:r>
    </w:p>
    <w:p w14:paraId="39DEF2FD" w14:textId="77777777" w:rsid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Work-related peer support groups; and</w:t>
      </w:r>
    </w:p>
    <w:p w14:paraId="20C2CB4E" w14:textId="77777777" w:rsid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Services necessary to ensure the success of youth participants in employment and/or postsecondary education.</w:t>
      </w:r>
    </w:p>
    <w:p w14:paraId="38B44C78" w14:textId="795D40BC" w:rsid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Leadership development</w:t>
      </w:r>
      <w:r>
        <w:rPr>
          <w:rFonts w:ascii="Times New Roman" w:hAnsi="Times New Roman" w:cs="Times New Roman"/>
        </w:rPr>
        <w:t>;</w:t>
      </w:r>
    </w:p>
    <w:p w14:paraId="5EB3661D" w14:textId="15159B44" w:rsid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Supportive services</w:t>
      </w:r>
      <w:r>
        <w:rPr>
          <w:rFonts w:ascii="Times New Roman" w:hAnsi="Times New Roman" w:cs="Times New Roman"/>
        </w:rPr>
        <w:t>;</w:t>
      </w:r>
    </w:p>
    <w:p w14:paraId="30B776D7" w14:textId="65D43283" w:rsid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Adult mentoring</w:t>
      </w:r>
      <w:r>
        <w:rPr>
          <w:rFonts w:ascii="Times New Roman" w:hAnsi="Times New Roman" w:cs="Times New Roman"/>
        </w:rPr>
        <w:t>;</w:t>
      </w:r>
    </w:p>
    <w:p w14:paraId="73C7FE94" w14:textId="3C4EA908" w:rsid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Financial literacy education;</w:t>
      </w:r>
    </w:p>
    <w:p w14:paraId="307F52E4" w14:textId="77777777" w:rsid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Services that provide labor market and employment information about in-demand industry sectors or occupations available in the local area, such as career awareness, career counseling, and career exploration services; and</w:t>
      </w:r>
    </w:p>
    <w:p w14:paraId="1228EF80" w14:textId="2BD43A23" w:rsidR="0030751B" w:rsidRPr="0030751B" w:rsidRDefault="0030751B" w:rsidP="0030751B">
      <w:pPr>
        <w:pStyle w:val="ListParagraph"/>
        <w:numPr>
          <w:ilvl w:val="0"/>
          <w:numId w:val="6"/>
        </w:numPr>
        <w:jc w:val="both"/>
        <w:rPr>
          <w:rFonts w:ascii="Times New Roman" w:hAnsi="Times New Roman" w:cs="Times New Roman"/>
        </w:rPr>
      </w:pPr>
      <w:r w:rsidRPr="0030751B">
        <w:rPr>
          <w:rFonts w:ascii="Times New Roman" w:hAnsi="Times New Roman" w:cs="Times New Roman"/>
        </w:rPr>
        <w:t>Activities that help youth prepare for and transition to postsecondary education and training.</w:t>
      </w:r>
    </w:p>
    <w:p w14:paraId="7F9475F5" w14:textId="77777777" w:rsidR="00624F7F" w:rsidRPr="00945D8A" w:rsidRDefault="00624F7F" w:rsidP="002F2A73">
      <w:pPr>
        <w:rPr>
          <w:rFonts w:ascii="Times New Roman" w:hAnsi="Times New Roman" w:cs="Times New Roman"/>
        </w:rPr>
      </w:pPr>
    </w:p>
    <w:p w14:paraId="74541FC8" w14:textId="77777777" w:rsidR="00945D8A" w:rsidRPr="00D60C06" w:rsidRDefault="00945D8A" w:rsidP="00945D8A">
      <w:pPr>
        <w:spacing w:line="276" w:lineRule="auto"/>
        <w:jc w:val="both"/>
        <w:rPr>
          <w:rFonts w:ascii="Times New Roman" w:hAnsi="Times New Roman" w:cs="Times New Roman"/>
          <w:b/>
          <w:bCs/>
          <w:sz w:val="18"/>
          <w:szCs w:val="18"/>
        </w:rPr>
      </w:pPr>
      <w:bookmarkStart w:id="1" w:name="_Hlk170280059"/>
      <w:r w:rsidRPr="00D60C06">
        <w:rPr>
          <w:rFonts w:ascii="Times New Roman" w:hAnsi="Times New Roman" w:cs="Times New Roman"/>
          <w:b/>
          <w:bCs/>
          <w:sz w:val="18"/>
          <w:szCs w:val="18"/>
        </w:rPr>
        <w:t>Applicable Policies, TEGLs, and other Documents:</w:t>
      </w:r>
    </w:p>
    <w:bookmarkEnd w:id="1"/>
    <w:p w14:paraId="3CD12615" w14:textId="3E712EDF" w:rsidR="0039223A" w:rsidRPr="00D60C06" w:rsidRDefault="006E0208" w:rsidP="00945D8A">
      <w:pPr>
        <w:spacing w:line="276" w:lineRule="auto"/>
        <w:rPr>
          <w:rFonts w:ascii="Times New Roman" w:hAnsi="Times New Roman" w:cs="Times New Roman"/>
          <w:sz w:val="18"/>
          <w:szCs w:val="18"/>
        </w:rPr>
      </w:pPr>
      <w:r w:rsidRPr="00D60C06">
        <w:rPr>
          <w:sz w:val="20"/>
          <w:szCs w:val="20"/>
        </w:rPr>
        <w:fldChar w:fldCharType="begin"/>
      </w:r>
      <w:r w:rsidRPr="00D60C06">
        <w:rPr>
          <w:rFonts w:ascii="Times New Roman" w:hAnsi="Times New Roman" w:cs="Times New Roman"/>
          <w:sz w:val="18"/>
          <w:szCs w:val="18"/>
        </w:rPr>
        <w:instrText>HYPERLINK "http://riverseastwdb.org/wp-content/uploads/PY21PolicyUpdates/Activity-codes-Definitions.pdf"</w:instrText>
      </w:r>
      <w:r w:rsidRPr="00D60C06">
        <w:rPr>
          <w:sz w:val="20"/>
          <w:szCs w:val="20"/>
        </w:rPr>
      </w:r>
      <w:r w:rsidRPr="00D60C06">
        <w:rPr>
          <w:sz w:val="20"/>
          <w:szCs w:val="20"/>
        </w:rPr>
        <w:fldChar w:fldCharType="separate"/>
      </w:r>
      <w:r w:rsidR="0039223A" w:rsidRPr="00D60C06">
        <w:rPr>
          <w:rStyle w:val="Hyperlink"/>
          <w:rFonts w:ascii="Times New Roman" w:hAnsi="Times New Roman" w:cs="Times New Roman"/>
          <w:sz w:val="18"/>
          <w:szCs w:val="18"/>
        </w:rPr>
        <w:t>http://riverseastwdb.org/wp-content/uploads/PY21PolicyUpdates/Activity-codes-Definitions.pdf</w:t>
      </w:r>
      <w:r w:rsidRPr="00D60C06">
        <w:rPr>
          <w:rStyle w:val="Hyperlink"/>
          <w:rFonts w:ascii="Times New Roman" w:hAnsi="Times New Roman" w:cs="Times New Roman"/>
          <w:sz w:val="18"/>
          <w:szCs w:val="18"/>
        </w:rPr>
        <w:fldChar w:fldCharType="end"/>
      </w:r>
    </w:p>
    <w:p w14:paraId="4BA9E89F" w14:textId="5C3DC6B7" w:rsidR="0039223A" w:rsidRPr="00D60C06" w:rsidRDefault="0039223A" w:rsidP="00945D8A">
      <w:pPr>
        <w:spacing w:line="276" w:lineRule="auto"/>
        <w:rPr>
          <w:rFonts w:ascii="Times New Roman" w:hAnsi="Times New Roman" w:cs="Times New Roman"/>
          <w:sz w:val="18"/>
          <w:szCs w:val="18"/>
        </w:rPr>
      </w:pPr>
      <w:hyperlink r:id="rId8" w:history="1">
        <w:r w:rsidRPr="00D60C06">
          <w:rPr>
            <w:rStyle w:val="Hyperlink"/>
            <w:rFonts w:ascii="Times New Roman" w:hAnsi="Times New Roman" w:cs="Times New Roman"/>
            <w:sz w:val="18"/>
            <w:szCs w:val="18"/>
          </w:rPr>
          <w:t>http://riverseastwdb.org/wp-content/uploads/2022/07/20220712151422805.pdf</w:t>
        </w:r>
      </w:hyperlink>
    </w:p>
    <w:p w14:paraId="31899AA6" w14:textId="2822F79B" w:rsidR="0039223A" w:rsidRPr="00D60C06" w:rsidRDefault="0039223A" w:rsidP="00945D8A">
      <w:pPr>
        <w:spacing w:line="276" w:lineRule="auto"/>
        <w:rPr>
          <w:rFonts w:ascii="Times New Roman" w:hAnsi="Times New Roman" w:cs="Times New Roman"/>
          <w:sz w:val="18"/>
          <w:szCs w:val="18"/>
        </w:rPr>
      </w:pPr>
      <w:hyperlink r:id="rId9" w:history="1">
        <w:r w:rsidRPr="00D60C06">
          <w:rPr>
            <w:rStyle w:val="Hyperlink"/>
            <w:rFonts w:ascii="Times New Roman" w:hAnsi="Times New Roman" w:cs="Times New Roman"/>
            <w:sz w:val="18"/>
            <w:szCs w:val="18"/>
          </w:rPr>
          <w:t>https://www.dol.gov/sites/dolgov/files/ETA/advisories/TEGL/2022/TEGL%2010-16%20Change%202/TEGL%2010-16%20Change%202.pdf</w:t>
        </w:r>
      </w:hyperlink>
    </w:p>
    <w:p w14:paraId="47029A19" w14:textId="375A2B94" w:rsidR="0039223A" w:rsidRPr="00D60C06" w:rsidRDefault="0039223A" w:rsidP="00945D8A">
      <w:pPr>
        <w:spacing w:line="276" w:lineRule="auto"/>
        <w:rPr>
          <w:rFonts w:ascii="Times New Roman" w:hAnsi="Times New Roman" w:cs="Times New Roman"/>
          <w:sz w:val="18"/>
          <w:szCs w:val="18"/>
        </w:rPr>
      </w:pPr>
      <w:hyperlink r:id="rId10" w:history="1">
        <w:r w:rsidRPr="00D60C06">
          <w:rPr>
            <w:rStyle w:val="Hyperlink"/>
            <w:rFonts w:ascii="Times New Roman" w:hAnsi="Times New Roman" w:cs="Times New Roman"/>
            <w:sz w:val="18"/>
            <w:szCs w:val="18"/>
          </w:rPr>
          <w:t>https://www.commerce.nc.gov/guidance-case-notes-and-exit-dates-ncworks-online-0/open</w:t>
        </w:r>
      </w:hyperlink>
    </w:p>
    <w:p w14:paraId="6D316AC7" w14:textId="29E585F8" w:rsidR="0039223A" w:rsidRPr="00D60C06" w:rsidRDefault="00036727" w:rsidP="002F2A73">
      <w:pPr>
        <w:rPr>
          <w:rStyle w:val="Hyperlink"/>
          <w:rFonts w:ascii="Times New Roman" w:hAnsi="Times New Roman" w:cs="Times New Roman"/>
          <w:sz w:val="18"/>
          <w:szCs w:val="18"/>
        </w:rPr>
      </w:pPr>
      <w:hyperlink r:id="rId11" w:history="1">
        <w:r w:rsidRPr="00D60C06">
          <w:rPr>
            <w:rStyle w:val="Hyperlink"/>
            <w:rFonts w:ascii="Times New Roman" w:hAnsi="Times New Roman" w:cs="Times New Roman"/>
            <w:sz w:val="18"/>
            <w:szCs w:val="18"/>
          </w:rPr>
          <w:t>https://www.commerce.nc.gov/media/7438/open</w:t>
        </w:r>
      </w:hyperlink>
      <w:r w:rsidRPr="00D60C06">
        <w:rPr>
          <w:rStyle w:val="Hyperlink"/>
          <w:rFonts w:ascii="Times New Roman" w:hAnsi="Times New Roman" w:cs="Times New Roman"/>
          <w:sz w:val="18"/>
          <w:szCs w:val="18"/>
        </w:rPr>
        <w:t xml:space="preserve"> </w:t>
      </w:r>
    </w:p>
    <w:p w14:paraId="663E46CF" w14:textId="1C862B18" w:rsidR="0030751B" w:rsidRPr="00D60C06" w:rsidRDefault="0030751B" w:rsidP="002F2A73">
      <w:pPr>
        <w:rPr>
          <w:rStyle w:val="Hyperlink"/>
          <w:rFonts w:ascii="Times New Roman" w:hAnsi="Times New Roman" w:cs="Times New Roman"/>
          <w:sz w:val="18"/>
          <w:szCs w:val="18"/>
        </w:rPr>
      </w:pPr>
      <w:r w:rsidRPr="00D60C06">
        <w:rPr>
          <w:rFonts w:ascii="Times New Roman" w:hAnsi="Times New Roman" w:cs="Times New Roman"/>
          <w:sz w:val="20"/>
          <w:szCs w:val="20"/>
        </w:rPr>
        <w:t>20 CFR 681.490</w:t>
      </w:r>
    </w:p>
    <w:p w14:paraId="7BFAC36F" w14:textId="379C4AB3" w:rsidR="0039223A" w:rsidRPr="00D60C06" w:rsidRDefault="0030751B" w:rsidP="002F2A73">
      <w:pPr>
        <w:rPr>
          <w:sz w:val="20"/>
          <w:szCs w:val="20"/>
        </w:rPr>
      </w:pPr>
      <w:r w:rsidRPr="00D60C06">
        <w:rPr>
          <w:rFonts w:ascii="Times New Roman" w:hAnsi="Times New Roman" w:cs="Times New Roman"/>
          <w:sz w:val="20"/>
          <w:szCs w:val="20"/>
        </w:rPr>
        <w:t>20 CFR 681.520</w:t>
      </w:r>
    </w:p>
    <w:p w14:paraId="5B8E082E" w14:textId="34C3BE5B" w:rsidR="002F2A73" w:rsidRPr="00D60C06" w:rsidRDefault="0030751B" w:rsidP="0039223A">
      <w:pPr>
        <w:rPr>
          <w:rFonts w:ascii="Times New Roman" w:hAnsi="Times New Roman" w:cs="Times New Roman"/>
          <w:sz w:val="20"/>
          <w:szCs w:val="20"/>
        </w:rPr>
      </w:pPr>
      <w:r w:rsidRPr="00D60C06">
        <w:rPr>
          <w:rFonts w:ascii="Times New Roman" w:hAnsi="Times New Roman" w:cs="Times New Roman"/>
          <w:sz w:val="20"/>
          <w:szCs w:val="20"/>
        </w:rPr>
        <w:t>20 CFR 681.570</w:t>
      </w:r>
    </w:p>
    <w:p w14:paraId="79EFD259" w14:textId="545C8A12" w:rsidR="0030751B" w:rsidRPr="00D60C06" w:rsidRDefault="0030751B" w:rsidP="0039223A">
      <w:pPr>
        <w:rPr>
          <w:sz w:val="20"/>
          <w:szCs w:val="20"/>
        </w:rPr>
      </w:pPr>
      <w:r w:rsidRPr="00D60C06">
        <w:rPr>
          <w:rFonts w:ascii="Times New Roman" w:hAnsi="Times New Roman" w:cs="Times New Roman"/>
          <w:sz w:val="20"/>
          <w:szCs w:val="20"/>
        </w:rPr>
        <w:t>20 CFR 681.580</w:t>
      </w:r>
    </w:p>
    <w:sectPr w:rsidR="0030751B" w:rsidRPr="00D60C06" w:rsidSect="00945D8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4812" w14:textId="4C9348F2" w:rsidR="000442E0" w:rsidRDefault="000442E0" w:rsidP="000442E0">
    <w:pPr>
      <w:pStyle w:val="Footer"/>
      <w:jc w:val="right"/>
    </w:pPr>
    <w: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1012"/>
    <w:multiLevelType w:val="hybridMultilevel"/>
    <w:tmpl w:val="8B387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04E7"/>
    <w:multiLevelType w:val="hybridMultilevel"/>
    <w:tmpl w:val="5F5C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84439"/>
    <w:multiLevelType w:val="hybridMultilevel"/>
    <w:tmpl w:val="08A8940E"/>
    <w:lvl w:ilvl="0" w:tplc="2CBA40AA">
      <w:start w:val="1"/>
      <w:numFmt w:val="upperRoman"/>
      <w:lvlText w:val="%1."/>
      <w:lvlJc w:val="left"/>
      <w:pPr>
        <w:ind w:left="1080" w:hanging="720"/>
      </w:pPr>
      <w:rPr>
        <w:rFonts w:hint="default"/>
      </w:rPr>
    </w:lvl>
    <w:lvl w:ilvl="1" w:tplc="4628FAEC">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5639B"/>
    <w:multiLevelType w:val="hybridMultilevel"/>
    <w:tmpl w:val="FEF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213018">
    <w:abstractNumId w:val="2"/>
  </w:num>
  <w:num w:numId="2" w16cid:durableId="766854773">
    <w:abstractNumId w:val="5"/>
  </w:num>
  <w:num w:numId="3" w16cid:durableId="1799562982">
    <w:abstractNumId w:val="4"/>
  </w:num>
  <w:num w:numId="4" w16cid:durableId="1703705145">
    <w:abstractNumId w:val="1"/>
  </w:num>
  <w:num w:numId="5" w16cid:durableId="489517220">
    <w:abstractNumId w:val="0"/>
  </w:num>
  <w:num w:numId="6" w16cid:durableId="1150291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CD6"/>
    <w:rsid w:val="00016C74"/>
    <w:rsid w:val="000302B0"/>
    <w:rsid w:val="00030E2A"/>
    <w:rsid w:val="000321BE"/>
    <w:rsid w:val="00035041"/>
    <w:rsid w:val="00036727"/>
    <w:rsid w:val="00037545"/>
    <w:rsid w:val="0004070E"/>
    <w:rsid w:val="000442E0"/>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3123"/>
    <w:rsid w:val="000836E1"/>
    <w:rsid w:val="000852EA"/>
    <w:rsid w:val="00090692"/>
    <w:rsid w:val="00090BE4"/>
    <w:rsid w:val="00094FFA"/>
    <w:rsid w:val="000A2358"/>
    <w:rsid w:val="000A4B0C"/>
    <w:rsid w:val="000A5D9B"/>
    <w:rsid w:val="000A6A1E"/>
    <w:rsid w:val="000A7357"/>
    <w:rsid w:val="000A76A1"/>
    <w:rsid w:val="000A7DA7"/>
    <w:rsid w:val="000A7F21"/>
    <w:rsid w:val="000B1CE2"/>
    <w:rsid w:val="000B2242"/>
    <w:rsid w:val="000B26C5"/>
    <w:rsid w:val="000B71D0"/>
    <w:rsid w:val="000C4AF1"/>
    <w:rsid w:val="000C5912"/>
    <w:rsid w:val="000C6163"/>
    <w:rsid w:val="000C6192"/>
    <w:rsid w:val="000C6EA3"/>
    <w:rsid w:val="000D5706"/>
    <w:rsid w:val="000D7122"/>
    <w:rsid w:val="000F17DA"/>
    <w:rsid w:val="000F2086"/>
    <w:rsid w:val="000F284B"/>
    <w:rsid w:val="000F2DA0"/>
    <w:rsid w:val="000F531F"/>
    <w:rsid w:val="000F7F28"/>
    <w:rsid w:val="0010069C"/>
    <w:rsid w:val="00100810"/>
    <w:rsid w:val="00103FF4"/>
    <w:rsid w:val="00107D2E"/>
    <w:rsid w:val="001107F8"/>
    <w:rsid w:val="00111D71"/>
    <w:rsid w:val="00112E03"/>
    <w:rsid w:val="00115EF2"/>
    <w:rsid w:val="00122468"/>
    <w:rsid w:val="001305CB"/>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40FC"/>
    <w:rsid w:val="001851B5"/>
    <w:rsid w:val="001855FF"/>
    <w:rsid w:val="00185FFA"/>
    <w:rsid w:val="001862C5"/>
    <w:rsid w:val="00186853"/>
    <w:rsid w:val="00186E22"/>
    <w:rsid w:val="00190384"/>
    <w:rsid w:val="00196163"/>
    <w:rsid w:val="0019630D"/>
    <w:rsid w:val="00196A26"/>
    <w:rsid w:val="001A205A"/>
    <w:rsid w:val="001A5616"/>
    <w:rsid w:val="001A6DAB"/>
    <w:rsid w:val="001B1ABD"/>
    <w:rsid w:val="001B4796"/>
    <w:rsid w:val="001B6331"/>
    <w:rsid w:val="001B6395"/>
    <w:rsid w:val="001B6AA5"/>
    <w:rsid w:val="001C0CD9"/>
    <w:rsid w:val="001C0F8B"/>
    <w:rsid w:val="001C1F39"/>
    <w:rsid w:val="001C74EA"/>
    <w:rsid w:val="001D06C6"/>
    <w:rsid w:val="001D4641"/>
    <w:rsid w:val="001D4B80"/>
    <w:rsid w:val="001D5B3F"/>
    <w:rsid w:val="001D7882"/>
    <w:rsid w:val="001E252C"/>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7EBE"/>
    <w:rsid w:val="00293E68"/>
    <w:rsid w:val="002B507B"/>
    <w:rsid w:val="002B66C5"/>
    <w:rsid w:val="002B6824"/>
    <w:rsid w:val="002B7BD8"/>
    <w:rsid w:val="002B7FDA"/>
    <w:rsid w:val="002C3CF7"/>
    <w:rsid w:val="002C72BE"/>
    <w:rsid w:val="002D3C4C"/>
    <w:rsid w:val="002D6F70"/>
    <w:rsid w:val="002E06C8"/>
    <w:rsid w:val="002E0732"/>
    <w:rsid w:val="002E09BB"/>
    <w:rsid w:val="002E2C3D"/>
    <w:rsid w:val="002F26C6"/>
    <w:rsid w:val="002F2851"/>
    <w:rsid w:val="002F2A73"/>
    <w:rsid w:val="002F386E"/>
    <w:rsid w:val="003011CB"/>
    <w:rsid w:val="003057D4"/>
    <w:rsid w:val="00306C9D"/>
    <w:rsid w:val="0030751B"/>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223A"/>
    <w:rsid w:val="00395B3B"/>
    <w:rsid w:val="003A03FB"/>
    <w:rsid w:val="003A132A"/>
    <w:rsid w:val="003A219F"/>
    <w:rsid w:val="003A2BE1"/>
    <w:rsid w:val="003A39CE"/>
    <w:rsid w:val="003A5272"/>
    <w:rsid w:val="003A6608"/>
    <w:rsid w:val="003A6F16"/>
    <w:rsid w:val="003B1715"/>
    <w:rsid w:val="003B5713"/>
    <w:rsid w:val="003B57D4"/>
    <w:rsid w:val="003B689B"/>
    <w:rsid w:val="003C7105"/>
    <w:rsid w:val="003D2CDB"/>
    <w:rsid w:val="003E1747"/>
    <w:rsid w:val="003E34D3"/>
    <w:rsid w:val="003E3E4D"/>
    <w:rsid w:val="003E620C"/>
    <w:rsid w:val="003E6C60"/>
    <w:rsid w:val="003E774E"/>
    <w:rsid w:val="003F2DA3"/>
    <w:rsid w:val="003F34DD"/>
    <w:rsid w:val="003F5BD6"/>
    <w:rsid w:val="0040343C"/>
    <w:rsid w:val="00404CEB"/>
    <w:rsid w:val="00405909"/>
    <w:rsid w:val="00410428"/>
    <w:rsid w:val="00420953"/>
    <w:rsid w:val="004239AF"/>
    <w:rsid w:val="00425DF2"/>
    <w:rsid w:val="00430A33"/>
    <w:rsid w:val="00431F8D"/>
    <w:rsid w:val="004345E3"/>
    <w:rsid w:val="00434AED"/>
    <w:rsid w:val="00434FA1"/>
    <w:rsid w:val="00440E81"/>
    <w:rsid w:val="00441BD9"/>
    <w:rsid w:val="00443027"/>
    <w:rsid w:val="004466C4"/>
    <w:rsid w:val="004472C6"/>
    <w:rsid w:val="00452619"/>
    <w:rsid w:val="00455309"/>
    <w:rsid w:val="00460621"/>
    <w:rsid w:val="00460AEB"/>
    <w:rsid w:val="00460BE3"/>
    <w:rsid w:val="0046143A"/>
    <w:rsid w:val="004640B2"/>
    <w:rsid w:val="004641D0"/>
    <w:rsid w:val="004677F1"/>
    <w:rsid w:val="004723C9"/>
    <w:rsid w:val="00473EFA"/>
    <w:rsid w:val="00481728"/>
    <w:rsid w:val="004834FA"/>
    <w:rsid w:val="00484A16"/>
    <w:rsid w:val="00493E06"/>
    <w:rsid w:val="00494973"/>
    <w:rsid w:val="00495E14"/>
    <w:rsid w:val="004A2B55"/>
    <w:rsid w:val="004A56D6"/>
    <w:rsid w:val="004A5A4E"/>
    <w:rsid w:val="004B085C"/>
    <w:rsid w:val="004B11A0"/>
    <w:rsid w:val="004B2418"/>
    <w:rsid w:val="004C116A"/>
    <w:rsid w:val="004C3471"/>
    <w:rsid w:val="004C37FA"/>
    <w:rsid w:val="004C55CD"/>
    <w:rsid w:val="004C65A3"/>
    <w:rsid w:val="004C6D32"/>
    <w:rsid w:val="004C6FB9"/>
    <w:rsid w:val="004C7FFB"/>
    <w:rsid w:val="004D3213"/>
    <w:rsid w:val="004D5C1D"/>
    <w:rsid w:val="004D7BB8"/>
    <w:rsid w:val="004E14A2"/>
    <w:rsid w:val="004E4EA1"/>
    <w:rsid w:val="004F295A"/>
    <w:rsid w:val="004F4E8D"/>
    <w:rsid w:val="00507937"/>
    <w:rsid w:val="005104C1"/>
    <w:rsid w:val="00510E6C"/>
    <w:rsid w:val="00514475"/>
    <w:rsid w:val="00514A1E"/>
    <w:rsid w:val="0051659E"/>
    <w:rsid w:val="0052187D"/>
    <w:rsid w:val="0052622E"/>
    <w:rsid w:val="00526542"/>
    <w:rsid w:val="0053116A"/>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65DD9"/>
    <w:rsid w:val="00570C0B"/>
    <w:rsid w:val="0057352F"/>
    <w:rsid w:val="005766C7"/>
    <w:rsid w:val="00577AE5"/>
    <w:rsid w:val="0058224E"/>
    <w:rsid w:val="00586523"/>
    <w:rsid w:val="00586E7B"/>
    <w:rsid w:val="005A45CE"/>
    <w:rsid w:val="005A5B1F"/>
    <w:rsid w:val="005B032F"/>
    <w:rsid w:val="005B11B9"/>
    <w:rsid w:val="005B18A7"/>
    <w:rsid w:val="005B4DCA"/>
    <w:rsid w:val="005C1ADB"/>
    <w:rsid w:val="005C1D0C"/>
    <w:rsid w:val="005C461B"/>
    <w:rsid w:val="005C566D"/>
    <w:rsid w:val="005D4A32"/>
    <w:rsid w:val="005D52A8"/>
    <w:rsid w:val="005D7D80"/>
    <w:rsid w:val="005E61F6"/>
    <w:rsid w:val="005F0D54"/>
    <w:rsid w:val="005F5340"/>
    <w:rsid w:val="005F5517"/>
    <w:rsid w:val="006006FB"/>
    <w:rsid w:val="006037E7"/>
    <w:rsid w:val="00603A98"/>
    <w:rsid w:val="00604CC5"/>
    <w:rsid w:val="0060583F"/>
    <w:rsid w:val="00607440"/>
    <w:rsid w:val="0060745F"/>
    <w:rsid w:val="00607891"/>
    <w:rsid w:val="0061237D"/>
    <w:rsid w:val="00620487"/>
    <w:rsid w:val="00620BE6"/>
    <w:rsid w:val="00620CA5"/>
    <w:rsid w:val="00622763"/>
    <w:rsid w:val="00623205"/>
    <w:rsid w:val="00624BE8"/>
    <w:rsid w:val="00624F7F"/>
    <w:rsid w:val="00631760"/>
    <w:rsid w:val="006361EC"/>
    <w:rsid w:val="0064143D"/>
    <w:rsid w:val="006517E7"/>
    <w:rsid w:val="006527D6"/>
    <w:rsid w:val="0065581A"/>
    <w:rsid w:val="00655E55"/>
    <w:rsid w:val="00657C89"/>
    <w:rsid w:val="00660B3F"/>
    <w:rsid w:val="00660D31"/>
    <w:rsid w:val="0066131B"/>
    <w:rsid w:val="0067064E"/>
    <w:rsid w:val="00672067"/>
    <w:rsid w:val="00673173"/>
    <w:rsid w:val="00676DF8"/>
    <w:rsid w:val="00680304"/>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0208"/>
    <w:rsid w:val="006E4910"/>
    <w:rsid w:val="006F009E"/>
    <w:rsid w:val="006F23EC"/>
    <w:rsid w:val="006F451C"/>
    <w:rsid w:val="006F55D3"/>
    <w:rsid w:val="006F5630"/>
    <w:rsid w:val="006F5819"/>
    <w:rsid w:val="006F6B69"/>
    <w:rsid w:val="006F75AA"/>
    <w:rsid w:val="00704D26"/>
    <w:rsid w:val="00705131"/>
    <w:rsid w:val="00705F04"/>
    <w:rsid w:val="00705FB3"/>
    <w:rsid w:val="00712D5D"/>
    <w:rsid w:val="00713D78"/>
    <w:rsid w:val="00726259"/>
    <w:rsid w:val="00733EC7"/>
    <w:rsid w:val="00736DAF"/>
    <w:rsid w:val="0073799E"/>
    <w:rsid w:val="00747930"/>
    <w:rsid w:val="00751627"/>
    <w:rsid w:val="00751CF6"/>
    <w:rsid w:val="007538AE"/>
    <w:rsid w:val="00763A38"/>
    <w:rsid w:val="007677D5"/>
    <w:rsid w:val="007723B1"/>
    <w:rsid w:val="00772F4E"/>
    <w:rsid w:val="00780894"/>
    <w:rsid w:val="007849B7"/>
    <w:rsid w:val="007855E3"/>
    <w:rsid w:val="007925CF"/>
    <w:rsid w:val="00792B98"/>
    <w:rsid w:val="00792F6D"/>
    <w:rsid w:val="00792FB8"/>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446E"/>
    <w:rsid w:val="007D457C"/>
    <w:rsid w:val="007D55C3"/>
    <w:rsid w:val="007D6D22"/>
    <w:rsid w:val="007D74C0"/>
    <w:rsid w:val="007D7DC8"/>
    <w:rsid w:val="007F30E6"/>
    <w:rsid w:val="007F4B49"/>
    <w:rsid w:val="00802B0A"/>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6683"/>
    <w:rsid w:val="00882E0D"/>
    <w:rsid w:val="008966C2"/>
    <w:rsid w:val="00897128"/>
    <w:rsid w:val="008A48E9"/>
    <w:rsid w:val="008B22D3"/>
    <w:rsid w:val="008B39ED"/>
    <w:rsid w:val="008C287C"/>
    <w:rsid w:val="008C5E60"/>
    <w:rsid w:val="008C7659"/>
    <w:rsid w:val="008D0F92"/>
    <w:rsid w:val="008D23B5"/>
    <w:rsid w:val="008E001C"/>
    <w:rsid w:val="008E19B4"/>
    <w:rsid w:val="008E3573"/>
    <w:rsid w:val="008E36F2"/>
    <w:rsid w:val="008E7674"/>
    <w:rsid w:val="008F0885"/>
    <w:rsid w:val="008F43D2"/>
    <w:rsid w:val="00903A22"/>
    <w:rsid w:val="009063AB"/>
    <w:rsid w:val="0090695E"/>
    <w:rsid w:val="00906C6B"/>
    <w:rsid w:val="00906E50"/>
    <w:rsid w:val="00913D72"/>
    <w:rsid w:val="00920E56"/>
    <w:rsid w:val="009212E6"/>
    <w:rsid w:val="00921C8B"/>
    <w:rsid w:val="00924E7B"/>
    <w:rsid w:val="00925E10"/>
    <w:rsid w:val="009368F0"/>
    <w:rsid w:val="0094053E"/>
    <w:rsid w:val="00941ABF"/>
    <w:rsid w:val="00942101"/>
    <w:rsid w:val="00945D8A"/>
    <w:rsid w:val="00952B46"/>
    <w:rsid w:val="0095378B"/>
    <w:rsid w:val="009563C0"/>
    <w:rsid w:val="00961FC2"/>
    <w:rsid w:val="0096477A"/>
    <w:rsid w:val="00967D50"/>
    <w:rsid w:val="0097039E"/>
    <w:rsid w:val="0097289A"/>
    <w:rsid w:val="00972B76"/>
    <w:rsid w:val="00973701"/>
    <w:rsid w:val="00975CF6"/>
    <w:rsid w:val="00976EB9"/>
    <w:rsid w:val="009830B5"/>
    <w:rsid w:val="0098633C"/>
    <w:rsid w:val="009906AC"/>
    <w:rsid w:val="0099626E"/>
    <w:rsid w:val="009A1159"/>
    <w:rsid w:val="009A30D8"/>
    <w:rsid w:val="009A6DB7"/>
    <w:rsid w:val="009A78BF"/>
    <w:rsid w:val="009B488A"/>
    <w:rsid w:val="009B4BD8"/>
    <w:rsid w:val="009B552F"/>
    <w:rsid w:val="009B5C1A"/>
    <w:rsid w:val="009C1EFE"/>
    <w:rsid w:val="009C647B"/>
    <w:rsid w:val="009C7F32"/>
    <w:rsid w:val="009D2B90"/>
    <w:rsid w:val="009D4BC7"/>
    <w:rsid w:val="009D7A0A"/>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41C2E"/>
    <w:rsid w:val="00A43DA8"/>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32B"/>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E240A"/>
    <w:rsid w:val="00AE263E"/>
    <w:rsid w:val="00AE2663"/>
    <w:rsid w:val="00AE51F3"/>
    <w:rsid w:val="00AE540E"/>
    <w:rsid w:val="00AE7D10"/>
    <w:rsid w:val="00AF50E5"/>
    <w:rsid w:val="00AF53E1"/>
    <w:rsid w:val="00AF5D35"/>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100F"/>
    <w:rsid w:val="00BA102B"/>
    <w:rsid w:val="00BA2E66"/>
    <w:rsid w:val="00BA2F3B"/>
    <w:rsid w:val="00BA4A16"/>
    <w:rsid w:val="00BB0459"/>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64502"/>
    <w:rsid w:val="00C672F5"/>
    <w:rsid w:val="00C730FF"/>
    <w:rsid w:val="00C76F91"/>
    <w:rsid w:val="00C77D81"/>
    <w:rsid w:val="00C80785"/>
    <w:rsid w:val="00C81ED1"/>
    <w:rsid w:val="00C84975"/>
    <w:rsid w:val="00C85841"/>
    <w:rsid w:val="00C900B4"/>
    <w:rsid w:val="00C907E9"/>
    <w:rsid w:val="00C92B6F"/>
    <w:rsid w:val="00C97A29"/>
    <w:rsid w:val="00CA0210"/>
    <w:rsid w:val="00CA070F"/>
    <w:rsid w:val="00CA07BA"/>
    <w:rsid w:val="00CA38CF"/>
    <w:rsid w:val="00CA4C4F"/>
    <w:rsid w:val="00CA63F3"/>
    <w:rsid w:val="00CB51C0"/>
    <w:rsid w:val="00CC4D67"/>
    <w:rsid w:val="00CC5B8A"/>
    <w:rsid w:val="00CC7B7D"/>
    <w:rsid w:val="00CD1E18"/>
    <w:rsid w:val="00CD4DE8"/>
    <w:rsid w:val="00CD7204"/>
    <w:rsid w:val="00CD73A1"/>
    <w:rsid w:val="00CE221F"/>
    <w:rsid w:val="00CE54D9"/>
    <w:rsid w:val="00CE6DEA"/>
    <w:rsid w:val="00CE71E9"/>
    <w:rsid w:val="00CF19E2"/>
    <w:rsid w:val="00D0094A"/>
    <w:rsid w:val="00D02B50"/>
    <w:rsid w:val="00D04DBA"/>
    <w:rsid w:val="00D0552D"/>
    <w:rsid w:val="00D12960"/>
    <w:rsid w:val="00D13D6C"/>
    <w:rsid w:val="00D16EA0"/>
    <w:rsid w:val="00D212D9"/>
    <w:rsid w:val="00D21337"/>
    <w:rsid w:val="00D21C15"/>
    <w:rsid w:val="00D31CB3"/>
    <w:rsid w:val="00D34E65"/>
    <w:rsid w:val="00D360FE"/>
    <w:rsid w:val="00D4030D"/>
    <w:rsid w:val="00D4225E"/>
    <w:rsid w:val="00D426AC"/>
    <w:rsid w:val="00D43853"/>
    <w:rsid w:val="00D464CA"/>
    <w:rsid w:val="00D500B7"/>
    <w:rsid w:val="00D515B5"/>
    <w:rsid w:val="00D5524B"/>
    <w:rsid w:val="00D55BF6"/>
    <w:rsid w:val="00D60B12"/>
    <w:rsid w:val="00D60C06"/>
    <w:rsid w:val="00D659DD"/>
    <w:rsid w:val="00D76507"/>
    <w:rsid w:val="00D7738B"/>
    <w:rsid w:val="00D778ED"/>
    <w:rsid w:val="00D82809"/>
    <w:rsid w:val="00D852E4"/>
    <w:rsid w:val="00D93CA1"/>
    <w:rsid w:val="00D942AC"/>
    <w:rsid w:val="00D954F2"/>
    <w:rsid w:val="00DA2AFD"/>
    <w:rsid w:val="00DA4F48"/>
    <w:rsid w:val="00DB23AC"/>
    <w:rsid w:val="00DB3FDC"/>
    <w:rsid w:val="00DB55F6"/>
    <w:rsid w:val="00DB62FF"/>
    <w:rsid w:val="00DB74CB"/>
    <w:rsid w:val="00DC2645"/>
    <w:rsid w:val="00DC7846"/>
    <w:rsid w:val="00DD3AD2"/>
    <w:rsid w:val="00DD471B"/>
    <w:rsid w:val="00DD5AFD"/>
    <w:rsid w:val="00DD6C74"/>
    <w:rsid w:val="00DE42EA"/>
    <w:rsid w:val="00DE6F01"/>
    <w:rsid w:val="00DE7685"/>
    <w:rsid w:val="00DF02DF"/>
    <w:rsid w:val="00DF0424"/>
    <w:rsid w:val="00DF2D48"/>
    <w:rsid w:val="00DF6C18"/>
    <w:rsid w:val="00DF7351"/>
    <w:rsid w:val="00DF765D"/>
    <w:rsid w:val="00E03BB5"/>
    <w:rsid w:val="00E052B6"/>
    <w:rsid w:val="00E142D3"/>
    <w:rsid w:val="00E3404C"/>
    <w:rsid w:val="00E37F85"/>
    <w:rsid w:val="00E421FA"/>
    <w:rsid w:val="00E42DB9"/>
    <w:rsid w:val="00E53F44"/>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28C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6589D"/>
    <w:rsid w:val="00F72319"/>
    <w:rsid w:val="00F72E7B"/>
    <w:rsid w:val="00F76B68"/>
    <w:rsid w:val="00F8373A"/>
    <w:rsid w:val="00F83D38"/>
    <w:rsid w:val="00F8600B"/>
    <w:rsid w:val="00F86E71"/>
    <w:rsid w:val="00F972D4"/>
    <w:rsid w:val="00FA6268"/>
    <w:rsid w:val="00FB25CB"/>
    <w:rsid w:val="00FB5A39"/>
    <w:rsid w:val="00FB74D1"/>
    <w:rsid w:val="00FC06EB"/>
    <w:rsid w:val="00FC4192"/>
    <w:rsid w:val="00FD2EA1"/>
    <w:rsid w:val="00FD45E5"/>
    <w:rsid w:val="00FD7ECF"/>
    <w:rsid w:val="00FE0C6E"/>
    <w:rsid w:val="00FE693D"/>
    <w:rsid w:val="00FE70A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39223A"/>
    <w:rPr>
      <w:color w:val="0563C1" w:themeColor="hyperlink"/>
      <w:u w:val="single"/>
    </w:rPr>
  </w:style>
  <w:style w:type="character" w:styleId="UnresolvedMention">
    <w:name w:val="Unresolved Mention"/>
    <w:basedOn w:val="DefaultParagraphFont"/>
    <w:uiPriority w:val="99"/>
    <w:semiHidden/>
    <w:unhideWhenUsed/>
    <w:rsid w:val="0039223A"/>
    <w:rPr>
      <w:color w:val="605E5C"/>
      <w:shd w:val="clear" w:color="auto" w:fill="E1DFDD"/>
    </w:rPr>
  </w:style>
  <w:style w:type="paragraph" w:styleId="Revision">
    <w:name w:val="Revision"/>
    <w:hidden/>
    <w:uiPriority w:val="99"/>
    <w:semiHidden/>
    <w:rsid w:val="003A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327818">
      <w:bodyDiv w:val="1"/>
      <w:marLeft w:val="0"/>
      <w:marRight w:val="0"/>
      <w:marTop w:val="0"/>
      <w:marBottom w:val="0"/>
      <w:divBdr>
        <w:top w:val="none" w:sz="0" w:space="0" w:color="auto"/>
        <w:left w:val="none" w:sz="0" w:space="0" w:color="auto"/>
        <w:bottom w:val="none" w:sz="0" w:space="0" w:color="auto"/>
        <w:right w:val="none" w:sz="0" w:space="0" w:color="auto"/>
      </w:divBdr>
    </w:div>
    <w:div w:id="19626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verseastwdb.org/wp-content/uploads/2022/07/2022071215142280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erce.nc.gov/media/7438/open" TargetMode="External"/><Relationship Id="rId5" Type="http://schemas.openxmlformats.org/officeDocument/2006/relationships/footnotes" Target="footnotes.xml"/><Relationship Id="rId10" Type="http://schemas.openxmlformats.org/officeDocument/2006/relationships/hyperlink" Target="https://www.commerce.nc.gov/guidance-case-notes-and-exit-dates-ncworks-online-0/open" TargetMode="External"/><Relationship Id="rId4" Type="http://schemas.openxmlformats.org/officeDocument/2006/relationships/webSettings" Target="webSettings.xml"/><Relationship Id="rId9" Type="http://schemas.openxmlformats.org/officeDocument/2006/relationships/hyperlink" Target="https://www.dol.gov/sites/dolgov/files/ETA/advisories/TEGL/2022/TEGL%2010-16%20Change%202/TEGL%2010-16%20Change%2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10</cp:revision>
  <cp:lastPrinted>2025-06-26T13:04:00Z</cp:lastPrinted>
  <dcterms:created xsi:type="dcterms:W3CDTF">2024-06-25T16:52:00Z</dcterms:created>
  <dcterms:modified xsi:type="dcterms:W3CDTF">2025-06-26T13:04:00Z</dcterms:modified>
</cp:coreProperties>
</file>